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93" w:rsidRPr="00C7776F" w:rsidRDefault="00C7776F" w:rsidP="00033430">
      <w:pPr>
        <w:jc w:val="both"/>
        <w:rPr>
          <w:b/>
        </w:rPr>
      </w:pPr>
      <w:r w:rsidRPr="00C7776F">
        <w:rPr>
          <w:b/>
        </w:rPr>
        <w:t>Všeobecné obchodní podmínky</w:t>
      </w:r>
      <w:r w:rsidR="008B62CD">
        <w:rPr>
          <w:b/>
        </w:rPr>
        <w:t xml:space="preserve"> </w:t>
      </w:r>
    </w:p>
    <w:p w:rsidR="00C7776F" w:rsidRPr="00C7776F" w:rsidRDefault="00C7776F" w:rsidP="00033430">
      <w:pPr>
        <w:jc w:val="both"/>
        <w:rPr>
          <w:b/>
        </w:rPr>
      </w:pPr>
      <w:r w:rsidRPr="00C7776F">
        <w:rPr>
          <w:b/>
        </w:rPr>
        <w:t>Úvodní ustanovení</w:t>
      </w:r>
    </w:p>
    <w:p w:rsidR="00C7776F" w:rsidRPr="007F3614" w:rsidRDefault="00C7776F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Tyto všeobecné podmínky jsou obchodními podmínkami ve smyslu §273 obchodního zákoníku a určují část obsahu smluvního vztahu mezi prodávajícím a kupujícím.</w:t>
      </w:r>
    </w:p>
    <w:p w:rsidR="00FA5883" w:rsidRPr="007F3614" w:rsidRDefault="00FA5883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Odchylná ujednání, uvedená v kupní smlouvě mají přednost před zněním těchto podmínek.</w:t>
      </w:r>
    </w:p>
    <w:p w:rsidR="00FA5883" w:rsidRPr="00FA5883" w:rsidRDefault="00FA5883" w:rsidP="00033430">
      <w:pPr>
        <w:jc w:val="both"/>
        <w:rPr>
          <w:b/>
        </w:rPr>
      </w:pPr>
      <w:r w:rsidRPr="00FA5883">
        <w:rPr>
          <w:b/>
        </w:rPr>
        <w:t>Povinnosti kupujícího</w:t>
      </w:r>
    </w:p>
    <w:p w:rsidR="00FA5883" w:rsidRPr="007F3614" w:rsidRDefault="00593950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Při objednání je kupující povinen upřesnit požadovaný předmět plnění, místo a čas plnění dodávky, způsob dopravy a případně další požadované služby (např. čerpání betonu, jeřáb apod.).</w:t>
      </w:r>
    </w:p>
    <w:p w:rsidR="00593950" w:rsidRPr="007F3614" w:rsidRDefault="00593950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Kupující je povinen označit osoby, které jsou za něho oprávněny plnění převzít. Důsledky nesplnění této povinnosti jdou vždy k tíži kupujícího. V případě pochybností se bude počítat s tím, že osoba objednávající a přejímající plnění, byla osobou k tomuto oprávněnou a zmocněnou.</w:t>
      </w:r>
    </w:p>
    <w:p w:rsidR="00593950" w:rsidRPr="007F3614" w:rsidRDefault="00593950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Obvyklý časový předstih pro uplatnění konkrétních dodávek jsou dva pracovní dny před dnem požadované dodávky.</w:t>
      </w:r>
    </w:p>
    <w:p w:rsidR="00781FF8" w:rsidRPr="007F3614" w:rsidRDefault="00781FF8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Výše definované plánované dodávky mají vždy zásadně přednost před dodávkami neplánovanými. Neplánované dodávky budou vykrývány vždy podle aktuální volné kapacity.</w:t>
      </w:r>
    </w:p>
    <w:p w:rsidR="00781FF8" w:rsidRPr="007F3614" w:rsidRDefault="00781FF8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 xml:space="preserve">Dodávky mimo obvyklou pracovní dobu prodávajícího jsou možné pouze po předchozí domluvě. </w:t>
      </w:r>
    </w:p>
    <w:p w:rsidR="00593950" w:rsidRPr="007F3614" w:rsidRDefault="00F579C7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Kupující je povinen zajistit odpovídající přístup požadované techn</w:t>
      </w:r>
      <w:r w:rsidR="00EC644B" w:rsidRPr="007F3614">
        <w:rPr>
          <w:sz w:val="20"/>
          <w:szCs w:val="20"/>
        </w:rPr>
        <w:t xml:space="preserve">iky dodavatele na místo plnění a zároveň seznámit dodavatele s příjezdovými cestami. </w:t>
      </w:r>
      <w:r w:rsidR="00593950" w:rsidRPr="007F3614">
        <w:rPr>
          <w:sz w:val="20"/>
          <w:szCs w:val="20"/>
        </w:rPr>
        <w:t xml:space="preserve">Zákazník ručí za škody způsobené nedostatečným prostorem </w:t>
      </w:r>
      <w:r w:rsidRPr="007F3614">
        <w:rPr>
          <w:sz w:val="20"/>
          <w:szCs w:val="20"/>
        </w:rPr>
        <w:t>pro přístup a manipulaci strojů dodavatele. Zároveň také za neúnosnost podloží, lešení, bednění a jiných stavebních konstrukcí. Zákazník dále odpovídá za škody vzniklé na stavbách, jejich částech, dopravních prostředcích, přístupových cestách, zahradách, apod. – zejména za jejich znečištění, způsobené transportem a manipulací s předmětem plnění. K zamezení vzniku těchto škod je kupující povinen učinit předběžná opatření.</w:t>
      </w:r>
    </w:p>
    <w:p w:rsidR="00941329" w:rsidRPr="007F3614" w:rsidRDefault="00941329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Kupující je povinen na místě plnění dodávky zajistit převzetí dodávky a potvrdit včasné a správné</w:t>
      </w:r>
      <w:r w:rsidR="00EC644B" w:rsidRPr="007F3614">
        <w:rPr>
          <w:sz w:val="20"/>
          <w:szCs w:val="20"/>
        </w:rPr>
        <w:t xml:space="preserve"> plnění podpisem dodacího listu oprávněnou osobou. Při neuvedení případných výhrad kupujícího na potvrzený dodací list na ně později nebude brán zřetel.</w:t>
      </w:r>
    </w:p>
    <w:p w:rsidR="00F579C7" w:rsidRPr="00F579C7" w:rsidRDefault="00F579C7" w:rsidP="00033430">
      <w:pPr>
        <w:jc w:val="both"/>
        <w:rPr>
          <w:b/>
        </w:rPr>
      </w:pPr>
      <w:r w:rsidRPr="00F579C7">
        <w:rPr>
          <w:b/>
        </w:rPr>
        <w:t>Povinnosti prodávajícího</w:t>
      </w:r>
    </w:p>
    <w:p w:rsidR="00F579C7" w:rsidRPr="007F3614" w:rsidRDefault="00437EB3" w:rsidP="00033430">
      <w:pPr>
        <w:jc w:val="both"/>
        <w:rPr>
          <w:sz w:val="20"/>
          <w:szCs w:val="20"/>
        </w:rPr>
      </w:pPr>
      <w:r>
        <w:rPr>
          <w:sz w:val="20"/>
          <w:szCs w:val="20"/>
        </w:rPr>
        <w:t>Společnost se přije</w:t>
      </w:r>
      <w:r w:rsidR="00F579C7" w:rsidRPr="007F3614">
        <w:rPr>
          <w:sz w:val="20"/>
          <w:szCs w:val="20"/>
        </w:rPr>
        <w:t>tím objednávky zavazuje k uskutečnění dodávky ve sjednaném čase, místě a množství.</w:t>
      </w:r>
    </w:p>
    <w:p w:rsidR="00F579C7" w:rsidRPr="007F3614" w:rsidRDefault="00941329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Prodávající odpovídá za škody způsobené zákazníkovi provozem technického vybavení pouze v případě zlého úmyslu nebo hrubé nedbalosti strojníka, který stroj obsluhuje.</w:t>
      </w:r>
    </w:p>
    <w:p w:rsidR="00941329" w:rsidRPr="007F3614" w:rsidRDefault="00941329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Pokud je plnění neuskutečnitelné kvůli zásahu vyšší moci, živelné pohromě či povětrnostním podmínkám, je toto prodávající povinen zákazníkovi neprodleně sdělit.</w:t>
      </w:r>
      <w:r w:rsidR="00683F32" w:rsidRPr="007F3614">
        <w:rPr>
          <w:sz w:val="20"/>
          <w:szCs w:val="20"/>
        </w:rPr>
        <w:t xml:space="preserve"> V tomto případě zákazníkovi nevzniká nárok na uplatnění sankcí z důvodu neplnění.</w:t>
      </w:r>
    </w:p>
    <w:p w:rsidR="00EC644B" w:rsidRPr="007F3614" w:rsidRDefault="00EC644B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Prodávající je povinen předat kupujícímu na místě plnění potvrzený dodací list.</w:t>
      </w:r>
    </w:p>
    <w:p w:rsidR="007F3614" w:rsidRDefault="007F3614" w:rsidP="00033430">
      <w:pPr>
        <w:jc w:val="both"/>
        <w:rPr>
          <w:b/>
        </w:rPr>
      </w:pPr>
    </w:p>
    <w:p w:rsidR="00EC644B" w:rsidRPr="00EC644B" w:rsidRDefault="00EC644B" w:rsidP="00033430">
      <w:pPr>
        <w:jc w:val="both"/>
        <w:rPr>
          <w:b/>
        </w:rPr>
      </w:pPr>
      <w:r w:rsidRPr="00EC644B">
        <w:rPr>
          <w:b/>
        </w:rPr>
        <w:t xml:space="preserve">Zrušení </w:t>
      </w:r>
      <w:r>
        <w:rPr>
          <w:b/>
        </w:rPr>
        <w:t>objednávky</w:t>
      </w:r>
    </w:p>
    <w:p w:rsidR="00941329" w:rsidRPr="007F3614" w:rsidRDefault="00EC644B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Pokud se obě strany nedohodnou jinak, je objednatel oprávněn zrušit potvrzenou objednávku nejpozději do okamžiku zahájení výroby předmětu objednávky.</w:t>
      </w:r>
    </w:p>
    <w:p w:rsidR="00EC644B" w:rsidRPr="007F3614" w:rsidRDefault="00EC644B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V případě pozdějšího zrušení objednávky má prodávající právo na náhradu všech nákladů, spojených s výrobou, dopravou a případnou likvidací předmětu plnění.</w:t>
      </w:r>
    </w:p>
    <w:p w:rsidR="00485B09" w:rsidRDefault="00485B09" w:rsidP="00033430">
      <w:pPr>
        <w:jc w:val="both"/>
        <w:rPr>
          <w:b/>
        </w:rPr>
      </w:pPr>
      <w:r w:rsidRPr="00485B09">
        <w:rPr>
          <w:b/>
        </w:rPr>
        <w:t>Jakost, záruky, reklamace</w:t>
      </w:r>
    </w:p>
    <w:p w:rsidR="00485B09" w:rsidRPr="007F3614" w:rsidRDefault="00485B09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Jakost obsahu plnění musí odpovídat smluvně sjednaným podmínkám. Jakost předmětu plnění je stanovována a kontrolována dle příslušných technických specifikací.</w:t>
      </w:r>
    </w:p>
    <w:p w:rsidR="00485B09" w:rsidRPr="007F3614" w:rsidRDefault="00485B09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Pokud to předpisy vyžadují, je na zboží prodávajícím vydáno prohlášení o shodě v souladu se zákonem č.22/1997 Sb.</w:t>
      </w:r>
    </w:p>
    <w:p w:rsidR="00485B09" w:rsidRPr="007F3614" w:rsidRDefault="00485B09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Případné vady na předmětu plnění je kupující povinen nahlásit prodávajícímu ihned po jejich zjištění. Práva z odpovědnosti za vady je kupující povinen uplatnit písemně u prodávajícího.</w:t>
      </w:r>
    </w:p>
    <w:p w:rsidR="00485B09" w:rsidRPr="007F3614" w:rsidRDefault="004D1983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O oznámených vadách bude sepsán zápis, kde bude jednoznačně uvedena specifikace uplatňované vady, datum zápisu, vyjádření prodávajícího a podpisy oprávněných osob obou jednajících stran.</w:t>
      </w:r>
    </w:p>
    <w:p w:rsidR="00C54F2F" w:rsidRPr="007F3614" w:rsidRDefault="00C54F2F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Záruka se nevztahuje na vady, které vznikly jako důsledek chybného nebo nepřiměřeného použití, neodborné manipulace či na vady způsobené kupujícím nebo třetí osobou.</w:t>
      </w:r>
    </w:p>
    <w:p w:rsidR="00C54F2F" w:rsidRPr="007F3614" w:rsidRDefault="00C54F2F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Na odlišnosti v povrchové barevnosti zboží a na případné vápenné či železité výkvěty se záruka rovněž nevztahuje.</w:t>
      </w:r>
      <w:r w:rsidR="00444189" w:rsidRPr="007F3614">
        <w:rPr>
          <w:sz w:val="20"/>
          <w:szCs w:val="20"/>
        </w:rPr>
        <w:t xml:space="preserve"> Suroviny pro výrobu zboží jsou z přírodních materiálů (písek, štěrk, cement, voda), proto není možné zabránit kolísání jejich přirozeného složení. Spolu s dalšími faktory působícími na výrobek během výroby a skladování (zejména povětrnostní podmínky), mohou tyto výkyvy vlastností surovin způsobit drobné odchylky v barevných odstínech či vznik tzv. vápenných a železitých výkvětů na povrchu výrobků. Těmto výkyvům barevnosti a výkvětům nelze zabránit ani použitím nejmodernějších technologických postupů a chemických přísad. V žádném případě se však nejedná o změnu kvality a užitných vlastností výrobku. Zpravidla se tyto drobné estetické nedokonalosti ztratí působením povětrnostních vlivů a běžným mechanickým namáháním.</w:t>
      </w:r>
    </w:p>
    <w:p w:rsidR="004D1983" w:rsidRPr="007F3614" w:rsidRDefault="004D1983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V případě neshody mezi kupujícím a prodávajícím ohledně reklamace, se obě strany zavazují akceptovat výrok nezávislé akreditované zkušebny.</w:t>
      </w:r>
    </w:p>
    <w:p w:rsidR="004D1983" w:rsidRPr="007F3614" w:rsidRDefault="004D1983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Náklady související s oprávněnou reklamací nese prodávající, v případě neoprávněné reklamace nese tyto náklady kupující.</w:t>
      </w:r>
    </w:p>
    <w:p w:rsidR="004D1983" w:rsidRPr="004D1983" w:rsidRDefault="004D1983" w:rsidP="00033430">
      <w:pPr>
        <w:jc w:val="both"/>
        <w:rPr>
          <w:b/>
        </w:rPr>
      </w:pPr>
      <w:r w:rsidRPr="004D1983">
        <w:rPr>
          <w:b/>
        </w:rPr>
        <w:t>Závěrečná ustanovení</w:t>
      </w:r>
    </w:p>
    <w:p w:rsidR="004D1983" w:rsidRPr="007F3614" w:rsidRDefault="004D1983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Tyto podmínky jsou spolu s platebními podmínkami a platným ceníkem prodávajícího neoddělitelnou součástí smlouvy mezi prodávajícím a kupujícím.</w:t>
      </w:r>
    </w:p>
    <w:p w:rsidR="004D1983" w:rsidRDefault="004D1983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Kupní smlouva může být dohodou obou stran změněna či zrušena pouze v písemné formě.</w:t>
      </w:r>
    </w:p>
    <w:p w:rsidR="002E7498" w:rsidRDefault="004C264D" w:rsidP="002E7498">
      <w:pPr>
        <w:jc w:val="both"/>
        <w:rPr>
          <w:sz w:val="20"/>
          <w:szCs w:val="20"/>
        </w:rPr>
      </w:pPr>
      <w:r w:rsidRPr="00093C73">
        <w:rPr>
          <w:sz w:val="20"/>
          <w:szCs w:val="20"/>
        </w:rPr>
        <w:t xml:space="preserve">Strany se dle z. č. 216/1994 Sb. dohodly, že veškeré jejich spory vzniklé ze smlouvy, jejíž součástí jsou tyto všeobecné obchodní podmínky či v souvislosti s touto smlouvou, budou rozhodovány v rozhodčím řízení ("RŘ") před jediným rozhodcem ad hoc. Výslovně pověřují předsedu představenstva Unie pro rozhodčí a mediační řízení ČR, a.s., IČ: 27166147 ("Unie"), aby vybral pro RŘ rozhodce, a opravňují ho, aby k výběru rozhodce zmocnil další osobu. Strany tímto výslovně pověřují rozhodce, aby určil cenu RŘ, a dohodly se, že RŘ bude provedeno za cenu, která je případným vybraným rozhodcem zveřejněna na www.urmr.cz ke dni podání žaloby. U sporů s mezinárodním prvkem se cena RŘ zvyšuje o polovinu. Takto je zpoplatněn i nárok uplatněný jako vzájemný návrh nebo námitka započtení v celé jejich výši. Zastavením řízení nezaniká nárok rozhodce na úhradu ceny RŘ, zaplacená cena RŘ se nevrací. Strany pověřují rozhodce, aby RŘ vedl v češtině, bez ústního jednání, rozhodl dle zásad spravedlnosti, rozhodnutí vydal bez odůvodnění, a souhlasí, že může pověřit k administrativní, technické a ekonomické činnosti v rámci RŘ třetí osoby, a v tomto rozsahu ho zprošťují mlčenlivosti. Strany sjednaly, že o případném vyloučení rozhodce rozhodne předseda dozorčí rady Unie, cena RŘ je nákladem řízení. Strany se dohodly na RŘ ve formě on-line, kdy je řízení vedeno v prostředí sítí elektronických komunikací; žaloba včetně příloh se podává elektronicky na podatelně na portálu www.e-arbiter.cz. Strany pověřily rozhodce, aby vytvořil na portálu e-arbiter pro daný spor zabezpečené unikátní </w:t>
      </w:r>
      <w:proofErr w:type="spellStart"/>
      <w:r w:rsidRPr="00093C73">
        <w:rPr>
          <w:sz w:val="20"/>
          <w:szCs w:val="20"/>
        </w:rPr>
        <w:t>ení</w:t>
      </w:r>
      <w:proofErr w:type="spellEnd"/>
      <w:r w:rsidRPr="00093C73">
        <w:rPr>
          <w:sz w:val="20"/>
          <w:szCs w:val="20"/>
        </w:rPr>
        <w:t xml:space="preserve"> fórum s elektronickým spisem ("SF"). Místem uložení SF a konání RŘ je Brno. Přístupové údaje do SF rozhodce stranám doručí elektronicky na e-mailové adresy nebo provozovatelem poštovních služeb, kdy může doručovat na adresy uvedené v dokumentu obsahujícím rozhodčí smlouvu; přitom se přiměřeně použijí ustanovení OSŘ o postupu při doručování, uložení u soudu nahrazuje uložení u rozhodce a vyvěšení na úřední desce soudu nahrazuje zveřejnění na www.urmr.cz. Strany sjednaly, že po vytvoření SF je podání možno platně činit a důkazy předkládat pouze elektronicky vložením do SF, podání, výzvy a rozhodnutí se považují za doručené okamžikem jejich vyvěšení na SF a úkony účastníků a rozhodce s výjimkou rozhodčího nálezu nemusí být opatřeny zaručeným elektronickým podpisem. Strany výslovně zmocňují rozhodce, aby dle své úvahy rozhodl o tom, že on-line RŘ převede do písemné formy.</w:t>
      </w:r>
    </w:p>
    <w:p w:rsidR="002E7498" w:rsidRPr="002E7498" w:rsidRDefault="002E7498" w:rsidP="002E7498">
      <w:pPr>
        <w:jc w:val="both"/>
        <w:rPr>
          <w:rFonts w:cstheme="minorHAnsi"/>
          <w:sz w:val="20"/>
          <w:szCs w:val="20"/>
        </w:rPr>
      </w:pPr>
      <w:r w:rsidRPr="002E7498">
        <w:rPr>
          <w:rFonts w:cstheme="minorHAnsi"/>
          <w:sz w:val="20"/>
          <w:szCs w:val="20"/>
        </w:rPr>
        <w:t>Data související s platbou našich faktur mohou být p</w:t>
      </w:r>
      <w:r w:rsidRPr="002E7498">
        <w:rPr>
          <w:rFonts w:eastAsia="Arial" w:cstheme="minorHAnsi"/>
          <w:sz w:val="20"/>
          <w:szCs w:val="20"/>
        </w:rPr>
        <w:t>ř</w:t>
      </w:r>
      <w:r w:rsidRPr="002E7498">
        <w:rPr>
          <w:rFonts w:cstheme="minorHAnsi"/>
          <w:sz w:val="20"/>
          <w:szCs w:val="20"/>
        </w:rPr>
        <w:t>edávána spole</w:t>
      </w:r>
      <w:r w:rsidRPr="002E7498">
        <w:rPr>
          <w:rFonts w:eastAsia="Arial" w:cstheme="minorHAnsi"/>
          <w:sz w:val="20"/>
          <w:szCs w:val="20"/>
        </w:rPr>
        <w:t>č</w:t>
      </w:r>
      <w:r w:rsidRPr="002E7498">
        <w:rPr>
          <w:rFonts w:cstheme="minorHAnsi"/>
          <w:sz w:val="20"/>
          <w:szCs w:val="20"/>
        </w:rPr>
        <w:t xml:space="preserve">nosti </w:t>
      </w:r>
      <w:proofErr w:type="spellStart"/>
      <w:r w:rsidRPr="002E7498">
        <w:rPr>
          <w:rFonts w:cstheme="minorHAnsi"/>
          <w:sz w:val="20"/>
          <w:szCs w:val="20"/>
        </w:rPr>
        <w:t>Bisnode</w:t>
      </w:r>
      <w:proofErr w:type="spellEnd"/>
      <w:r w:rsidRPr="002E7498">
        <w:rPr>
          <w:rFonts w:cstheme="minorHAnsi"/>
          <w:sz w:val="20"/>
          <w:szCs w:val="20"/>
        </w:rPr>
        <w:t xml:space="preserve"> </w:t>
      </w:r>
      <w:r w:rsidRPr="002E7498">
        <w:rPr>
          <w:rFonts w:eastAsia="Arial" w:cstheme="minorHAnsi"/>
          <w:sz w:val="20"/>
          <w:szCs w:val="20"/>
        </w:rPr>
        <w:t>Č</w:t>
      </w:r>
      <w:r w:rsidRPr="002E7498">
        <w:rPr>
          <w:rFonts w:cstheme="minorHAnsi"/>
          <w:sz w:val="20"/>
          <w:szCs w:val="20"/>
        </w:rPr>
        <w:t>eská republika, a.s., která m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>že tato data v</w:t>
      </w:r>
      <w:r w:rsidRPr="002E7498">
        <w:rPr>
          <w:rFonts w:eastAsia="Arial" w:cstheme="minorHAnsi"/>
          <w:sz w:val="20"/>
          <w:szCs w:val="20"/>
        </w:rPr>
        <w:t>č</w:t>
      </w:r>
      <w:r w:rsidRPr="002E7498">
        <w:rPr>
          <w:rFonts w:cstheme="minorHAnsi"/>
          <w:sz w:val="20"/>
          <w:szCs w:val="20"/>
        </w:rPr>
        <w:t>etn</w:t>
      </w:r>
      <w:r w:rsidRPr="002E7498">
        <w:rPr>
          <w:rFonts w:eastAsia="Arial" w:cstheme="minorHAnsi"/>
          <w:sz w:val="20"/>
          <w:szCs w:val="20"/>
        </w:rPr>
        <w:t>ě</w:t>
      </w:r>
      <w:r w:rsidRPr="002E7498">
        <w:rPr>
          <w:rFonts w:cstheme="minorHAnsi"/>
          <w:sz w:val="20"/>
          <w:szCs w:val="20"/>
        </w:rPr>
        <w:t xml:space="preserve"> Vašich osobních údaj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 xml:space="preserve"> dále zpracovávat za ú</w:t>
      </w:r>
      <w:r w:rsidRPr="002E7498">
        <w:rPr>
          <w:rFonts w:eastAsia="Arial" w:cstheme="minorHAnsi"/>
          <w:sz w:val="20"/>
          <w:szCs w:val="20"/>
        </w:rPr>
        <w:t>č</w:t>
      </w:r>
      <w:r w:rsidRPr="002E7498">
        <w:rPr>
          <w:rFonts w:cstheme="minorHAnsi"/>
          <w:sz w:val="20"/>
          <w:szCs w:val="20"/>
        </w:rPr>
        <w:t>elem sledování a vyhodnocování platební disciplíny konkrétních podnikatelských subjekt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>. Jak v</w:t>
      </w:r>
      <w:r w:rsidRPr="002E7498">
        <w:rPr>
          <w:rFonts w:eastAsia="Arial" w:cstheme="minorHAnsi"/>
          <w:sz w:val="20"/>
          <w:szCs w:val="20"/>
        </w:rPr>
        <w:t>ůč</w:t>
      </w:r>
      <w:r w:rsidRPr="002E7498">
        <w:rPr>
          <w:rFonts w:cstheme="minorHAnsi"/>
          <w:sz w:val="20"/>
          <w:szCs w:val="20"/>
        </w:rPr>
        <w:t>i naší spole</w:t>
      </w:r>
      <w:r w:rsidRPr="002E7498">
        <w:rPr>
          <w:rFonts w:eastAsia="Arial" w:cstheme="minorHAnsi"/>
          <w:sz w:val="20"/>
          <w:szCs w:val="20"/>
        </w:rPr>
        <w:t>č</w:t>
      </w:r>
      <w:r w:rsidRPr="002E7498">
        <w:rPr>
          <w:rFonts w:cstheme="minorHAnsi"/>
          <w:sz w:val="20"/>
          <w:szCs w:val="20"/>
        </w:rPr>
        <w:t>nosti, tak v</w:t>
      </w:r>
      <w:r w:rsidRPr="002E7498">
        <w:rPr>
          <w:rFonts w:eastAsia="Arial" w:cstheme="minorHAnsi"/>
          <w:sz w:val="20"/>
          <w:szCs w:val="20"/>
        </w:rPr>
        <w:t>ůč</w:t>
      </w:r>
      <w:r w:rsidRPr="002E7498">
        <w:rPr>
          <w:rFonts w:cstheme="minorHAnsi"/>
          <w:sz w:val="20"/>
          <w:szCs w:val="20"/>
        </w:rPr>
        <w:t>i spole</w:t>
      </w:r>
      <w:r w:rsidRPr="002E7498">
        <w:rPr>
          <w:rFonts w:eastAsia="Arial" w:cstheme="minorHAnsi"/>
          <w:sz w:val="20"/>
          <w:szCs w:val="20"/>
        </w:rPr>
        <w:t>č</w:t>
      </w:r>
      <w:r w:rsidRPr="002E7498">
        <w:rPr>
          <w:rFonts w:cstheme="minorHAnsi"/>
          <w:sz w:val="20"/>
          <w:szCs w:val="20"/>
        </w:rPr>
        <w:t xml:space="preserve">nosti </w:t>
      </w:r>
      <w:proofErr w:type="spellStart"/>
      <w:r w:rsidRPr="002E7498">
        <w:rPr>
          <w:rFonts w:cstheme="minorHAnsi"/>
          <w:sz w:val="20"/>
          <w:szCs w:val="20"/>
        </w:rPr>
        <w:t>Bisnode</w:t>
      </w:r>
      <w:proofErr w:type="spellEnd"/>
      <w:r w:rsidRPr="002E7498">
        <w:rPr>
          <w:rFonts w:cstheme="minorHAnsi"/>
          <w:sz w:val="20"/>
          <w:szCs w:val="20"/>
        </w:rPr>
        <w:t xml:space="preserve"> m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>žete uplatnit veškerá práva, která Vám jako subjektu údaj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 xml:space="preserve"> náleží dle právních p</w:t>
      </w:r>
      <w:r w:rsidRPr="002E7498">
        <w:rPr>
          <w:rFonts w:eastAsia="Arial" w:cstheme="minorHAnsi"/>
          <w:sz w:val="20"/>
          <w:szCs w:val="20"/>
        </w:rPr>
        <w:t>ř</w:t>
      </w:r>
      <w:r w:rsidRPr="002E7498">
        <w:rPr>
          <w:rFonts w:cstheme="minorHAnsi"/>
          <w:sz w:val="20"/>
          <w:szCs w:val="20"/>
        </w:rPr>
        <w:t>edpis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 xml:space="preserve"> na ochranu osobních údaj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>. Více informací o spole</w:t>
      </w:r>
      <w:r w:rsidRPr="002E7498">
        <w:rPr>
          <w:rFonts w:eastAsia="Arial" w:cstheme="minorHAnsi"/>
          <w:sz w:val="20"/>
          <w:szCs w:val="20"/>
        </w:rPr>
        <w:t>č</w:t>
      </w:r>
      <w:r w:rsidRPr="002E7498">
        <w:rPr>
          <w:rFonts w:cstheme="minorHAnsi"/>
          <w:sz w:val="20"/>
          <w:szCs w:val="20"/>
        </w:rPr>
        <w:t xml:space="preserve">nosti </w:t>
      </w:r>
      <w:proofErr w:type="spellStart"/>
      <w:r w:rsidRPr="002E7498">
        <w:rPr>
          <w:rFonts w:cstheme="minorHAnsi"/>
          <w:sz w:val="20"/>
          <w:szCs w:val="20"/>
        </w:rPr>
        <w:t>Bisnode</w:t>
      </w:r>
      <w:proofErr w:type="spellEnd"/>
      <w:r w:rsidRPr="002E7498">
        <w:rPr>
          <w:rFonts w:cstheme="minorHAnsi"/>
          <w:sz w:val="20"/>
          <w:szCs w:val="20"/>
        </w:rPr>
        <w:t xml:space="preserve"> a jejím zpracování osobních údaj</w:t>
      </w:r>
      <w:r w:rsidRPr="002E7498">
        <w:rPr>
          <w:rFonts w:eastAsia="Arial" w:cstheme="minorHAnsi"/>
          <w:sz w:val="20"/>
          <w:szCs w:val="20"/>
        </w:rPr>
        <w:t>ů</w:t>
      </w:r>
      <w:r w:rsidRPr="002E7498">
        <w:rPr>
          <w:rFonts w:cstheme="minorHAnsi"/>
          <w:sz w:val="20"/>
          <w:szCs w:val="20"/>
        </w:rPr>
        <w:t xml:space="preserve"> naleznete na </w:t>
      </w:r>
      <w:r w:rsidRPr="002E7498">
        <w:rPr>
          <w:rFonts w:cstheme="minorHAnsi"/>
          <w:color w:val="0000FF"/>
          <w:sz w:val="20"/>
          <w:szCs w:val="20"/>
          <w:u w:val="single" w:color="0000FF"/>
        </w:rPr>
        <w:t>www.bisnode.cz/</w:t>
      </w:r>
      <w:proofErr w:type="spellStart"/>
      <w:r w:rsidRPr="002E7498">
        <w:rPr>
          <w:rFonts w:cstheme="minorHAnsi"/>
          <w:color w:val="0000FF"/>
          <w:sz w:val="20"/>
          <w:szCs w:val="20"/>
          <w:u w:val="single" w:color="0000FF"/>
        </w:rPr>
        <w:t>privacy</w:t>
      </w:r>
      <w:proofErr w:type="spellEnd"/>
      <w:r w:rsidRPr="002E7498">
        <w:rPr>
          <w:rFonts w:cstheme="minorHAnsi"/>
          <w:sz w:val="20"/>
          <w:szCs w:val="20"/>
        </w:rPr>
        <w:t>.</w:t>
      </w:r>
    </w:p>
    <w:p w:rsidR="00485B09" w:rsidRPr="007F3614" w:rsidRDefault="00444189" w:rsidP="00033430">
      <w:pPr>
        <w:jc w:val="both"/>
        <w:rPr>
          <w:sz w:val="20"/>
          <w:szCs w:val="20"/>
        </w:rPr>
      </w:pPr>
      <w:r w:rsidRPr="007F3614">
        <w:rPr>
          <w:sz w:val="20"/>
          <w:szCs w:val="20"/>
        </w:rPr>
        <w:t>Není-li v těchto obchodních podmínkách uvedeno jinak, postupuje se dle příslušných ustanovení obchodního zákoníku</w:t>
      </w:r>
      <w:r w:rsidR="00794EB8" w:rsidRPr="007F3614">
        <w:rPr>
          <w:sz w:val="20"/>
          <w:szCs w:val="20"/>
        </w:rPr>
        <w:t xml:space="preserve"> (zákona č. 513/1991 Sb., ve znění pozdějších předpisů), případně dle občanského zákoníku (zákona č. 40/1964 Sb., ve znění pozdějších předpisů).</w:t>
      </w:r>
    </w:p>
    <w:sectPr w:rsidR="00485B09" w:rsidRPr="007F3614" w:rsidSect="004D749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FE" w:rsidRDefault="006720FE" w:rsidP="008B62CD">
      <w:pPr>
        <w:spacing w:after="0" w:line="240" w:lineRule="auto"/>
      </w:pPr>
      <w:r>
        <w:separator/>
      </w:r>
    </w:p>
  </w:endnote>
  <w:endnote w:type="continuationSeparator" w:id="0">
    <w:p w:rsidR="006720FE" w:rsidRDefault="006720FE" w:rsidP="008B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FE" w:rsidRDefault="006720FE" w:rsidP="008B62CD">
      <w:pPr>
        <w:spacing w:after="0" w:line="240" w:lineRule="auto"/>
      </w:pPr>
      <w:r>
        <w:separator/>
      </w:r>
    </w:p>
  </w:footnote>
  <w:footnote w:type="continuationSeparator" w:id="0">
    <w:p w:rsidR="006720FE" w:rsidRDefault="006720FE" w:rsidP="008B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CD" w:rsidRDefault="006720F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001" o:spid="_x0000_s2050" type="#_x0000_t75" style="position:absolute;margin-left:0;margin-top:0;width:453.55pt;height:102.25pt;z-index:-251657216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CD" w:rsidRDefault="006720FE">
    <w:pPr>
      <w:pStyle w:val="Zhlav"/>
    </w:pPr>
    <w:r>
      <w:rPr>
        <w:b/>
        <w:noProof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002" o:spid="_x0000_s2051" type="#_x0000_t75" style="position:absolute;margin-left:0;margin-top:0;width:453.55pt;height:102.25pt;z-index:-251656192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  <w:r w:rsidR="008B62CD" w:rsidRPr="008B62CD">
      <w:rPr>
        <w:b/>
        <w:sz w:val="24"/>
        <w:szCs w:val="24"/>
      </w:rPr>
      <w:t>HB beton s.r.o.</w:t>
    </w:r>
    <w:r w:rsidR="008B62CD">
      <w:t xml:space="preserve">      </w:t>
    </w:r>
    <w:r w:rsidR="008B62CD">
      <w:tab/>
      <w:t xml:space="preserve">                                      </w:t>
    </w:r>
    <w:r w:rsidR="008B62CD">
      <w:tab/>
      <w:t xml:space="preserve">  tel. +420 321 091</w:t>
    </w:r>
  </w:p>
  <w:p w:rsidR="008B62CD" w:rsidRDefault="008B62CD">
    <w:pPr>
      <w:pStyle w:val="Zhlav"/>
    </w:pPr>
    <w:r>
      <w:t xml:space="preserve">Horní Žďár 37                                                        </w:t>
    </w:r>
    <w:r>
      <w:tab/>
    </w:r>
    <w:r>
      <w:tab/>
      <w:t>fax +420 321 094</w:t>
    </w:r>
  </w:p>
  <w:p w:rsidR="007F3614" w:rsidRDefault="008B62CD">
    <w:pPr>
      <w:pStyle w:val="Zhlav"/>
    </w:pPr>
    <w:r>
      <w:t xml:space="preserve">377 01 J. Hradec                                                  </w:t>
    </w:r>
    <w:r>
      <w:tab/>
    </w:r>
    <w:r>
      <w:tab/>
      <w:t xml:space="preserve"> E-mail</w:t>
    </w:r>
    <w:r w:rsidR="007F3614">
      <w:t>:</w:t>
    </w:r>
    <w:r>
      <w:t xml:space="preserve"> </w:t>
    </w:r>
    <w:r w:rsidR="007F3614">
      <w:t>i</w:t>
    </w:r>
    <w:r>
      <w:t>n</w:t>
    </w:r>
    <w:r w:rsidR="007F3614">
      <w:t>f</w:t>
    </w:r>
    <w:r>
      <w:t xml:space="preserve">o@hbbeton.cz  </w:t>
    </w:r>
  </w:p>
  <w:p w:rsidR="007F3614" w:rsidRDefault="007F3614">
    <w:pPr>
      <w:pStyle w:val="Zhlav"/>
    </w:pPr>
    <w:r>
      <w:tab/>
    </w:r>
    <w:r>
      <w:tab/>
      <w:t>www.hbbeton.cz</w:t>
    </w:r>
  </w:p>
  <w:p w:rsidR="007F3614" w:rsidRDefault="007F3614">
    <w:pPr>
      <w:pStyle w:val="Zhlav"/>
    </w:pPr>
  </w:p>
  <w:p w:rsidR="007F3614" w:rsidRDefault="007F36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CD" w:rsidRDefault="006720F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000" o:spid="_x0000_s2049" type="#_x0000_t75" style="position:absolute;margin-left:0;margin-top:0;width:453.55pt;height:102.25pt;z-index:-251658240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76F"/>
    <w:rsid w:val="000154F6"/>
    <w:rsid w:val="00027505"/>
    <w:rsid w:val="00033430"/>
    <w:rsid w:val="00085EFB"/>
    <w:rsid w:val="00093C73"/>
    <w:rsid w:val="000C3944"/>
    <w:rsid w:val="002E7498"/>
    <w:rsid w:val="00303AB8"/>
    <w:rsid w:val="003076C3"/>
    <w:rsid w:val="003671AD"/>
    <w:rsid w:val="003F79BB"/>
    <w:rsid w:val="00406382"/>
    <w:rsid w:val="00437EB3"/>
    <w:rsid w:val="00444189"/>
    <w:rsid w:val="00485B09"/>
    <w:rsid w:val="004C264D"/>
    <w:rsid w:val="004D1983"/>
    <w:rsid w:val="004D7493"/>
    <w:rsid w:val="004E72CC"/>
    <w:rsid w:val="0055134D"/>
    <w:rsid w:val="00593950"/>
    <w:rsid w:val="005960FE"/>
    <w:rsid w:val="006059FC"/>
    <w:rsid w:val="006720FE"/>
    <w:rsid w:val="00683F32"/>
    <w:rsid w:val="006D2AD9"/>
    <w:rsid w:val="00753738"/>
    <w:rsid w:val="00781FF8"/>
    <w:rsid w:val="00794EB8"/>
    <w:rsid w:val="007F3614"/>
    <w:rsid w:val="00890926"/>
    <w:rsid w:val="008B62CD"/>
    <w:rsid w:val="00941329"/>
    <w:rsid w:val="00AC255F"/>
    <w:rsid w:val="00B05CFD"/>
    <w:rsid w:val="00C54F2F"/>
    <w:rsid w:val="00C552CA"/>
    <w:rsid w:val="00C7776F"/>
    <w:rsid w:val="00CA11AF"/>
    <w:rsid w:val="00CA53F6"/>
    <w:rsid w:val="00D4433B"/>
    <w:rsid w:val="00E64890"/>
    <w:rsid w:val="00EA53A9"/>
    <w:rsid w:val="00EC644B"/>
    <w:rsid w:val="00EC675C"/>
    <w:rsid w:val="00F439D4"/>
    <w:rsid w:val="00F579C7"/>
    <w:rsid w:val="00F64372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3DCD65"/>
  <w15:docId w15:val="{CAE02207-929A-474A-BEB9-CA0D7EC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62CD"/>
  </w:style>
  <w:style w:type="paragraph" w:styleId="Zpat">
    <w:name w:val="footer"/>
    <w:basedOn w:val="Normln"/>
    <w:link w:val="ZpatChar"/>
    <w:uiPriority w:val="99"/>
    <w:semiHidden/>
    <w:unhideWhenUsed/>
    <w:rsid w:val="008B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62CD"/>
  </w:style>
  <w:style w:type="paragraph" w:styleId="Textbubliny">
    <w:name w:val="Balloon Text"/>
    <w:basedOn w:val="Normln"/>
    <w:link w:val="TextbublinyChar"/>
    <w:uiPriority w:val="99"/>
    <w:semiHidden/>
    <w:unhideWhenUsed/>
    <w:rsid w:val="00EA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3A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085EF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85EFB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D326-5A42-4644-8251-25B1D1F5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Houška</cp:lastModifiedBy>
  <cp:revision>6</cp:revision>
  <cp:lastPrinted>2018-10-11T11:13:00Z</cp:lastPrinted>
  <dcterms:created xsi:type="dcterms:W3CDTF">2011-04-27T07:49:00Z</dcterms:created>
  <dcterms:modified xsi:type="dcterms:W3CDTF">2018-10-11T11:13:00Z</dcterms:modified>
  <cp:contentStatus/>
</cp:coreProperties>
</file>